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360"/>
        <w:jc w:val="both"/>
        <w:rPr>
          <w:sz w:val="24"/>
          <w:szCs w:val="24"/>
        </w:rPr>
      </w:pPr>
      <w:bookmarkStart w:id="0" w:name="_GoBack"/>
      <w:bookmarkEnd w:id="0"/>
      <w:r>
        <w:rPr>
          <w:sz w:val="24"/>
          <w:szCs w:val="24"/>
          <w:lang w:val="en-US"/>
        </w:rPr>
        <w:t>Loreto, Jan Laurence B.</w:t>
      </w:r>
    </w:p>
    <w:p>
      <w:pPr>
        <w:pStyle w:val="style0"/>
        <w:spacing w:lineRule="auto" w:line="360"/>
        <w:jc w:val="both"/>
        <w:rPr>
          <w:sz w:val="24"/>
          <w:szCs w:val="24"/>
        </w:rPr>
      </w:pPr>
      <w:r>
        <w:rPr>
          <w:sz w:val="24"/>
          <w:szCs w:val="24"/>
          <w:lang w:val="en-US"/>
        </w:rPr>
        <w:t>BPE 3A</w:t>
      </w:r>
    </w:p>
    <w:p>
      <w:pPr>
        <w:pStyle w:val="style0"/>
        <w:spacing w:lineRule="auto" w:line="360"/>
        <w:jc w:val="both"/>
        <w:rPr>
          <w:sz w:val="24"/>
          <w:szCs w:val="24"/>
          <w:highlight w:val="yellow"/>
        </w:rPr>
      </w:pPr>
    </w:p>
    <w:p>
      <w:pPr>
        <w:pStyle w:val="style0"/>
        <w:spacing w:lineRule="auto" w:line="360"/>
        <w:jc w:val="both"/>
        <w:rPr>
          <w:sz w:val="24"/>
          <w:szCs w:val="24"/>
          <w:highlight w:val="yellow"/>
        </w:rPr>
      </w:pPr>
      <w:r>
        <w:rPr>
          <w:sz w:val="24"/>
          <w:szCs w:val="24"/>
          <w:highlight w:val="yellow"/>
          <w:lang w:val="en-US"/>
        </w:rPr>
        <w:t>TASK SHEET NO. 7</w:t>
      </w:r>
    </w:p>
    <w:p>
      <w:pPr>
        <w:pStyle w:val="style0"/>
        <w:spacing w:lineRule="auto" w:line="360"/>
        <w:jc w:val="both"/>
        <w:rPr>
          <w:sz w:val="24"/>
          <w:szCs w:val="24"/>
        </w:rPr>
      </w:pPr>
      <w:r>
        <w:rPr>
          <w:sz w:val="24"/>
          <w:szCs w:val="24"/>
          <w:lang w:val="en-US"/>
        </w:rPr>
        <w:t>Writing a Reflection to be Posted on the online Blog/Classroom-made twitter Wall</w:t>
      </w:r>
    </w:p>
    <w:p>
      <w:pPr>
        <w:pStyle w:val="style0"/>
        <w:spacing w:lineRule="auto" w:line="360"/>
        <w:jc w:val="both"/>
        <w:rPr>
          <w:sz w:val="24"/>
          <w:szCs w:val="24"/>
        </w:rPr>
      </w:pPr>
      <w:r>
        <w:rPr>
          <w:sz w:val="24"/>
          <w:szCs w:val="24"/>
          <w:lang w:val="en-US"/>
        </w:rPr>
        <w:t>Direction: Each student will write a reflection pertaining to the Dale’s Cone of Experience. You will be graded based on the rubrics below.</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 xml:space="preserve">                Dale's Cone of Experience is a model about the percentage of remembering things. In reading, 10% of all the information is only stored in child's memory. So, it is not good that teacher and parents just let the children read and comprehend the modules on their own. In hearing different lesson through discussion, music and radios, children can only remember 20% of it. It means that hearing a discussion is better than reading books and modules alone. Hearing lesson can stimulate understanding and imagination of the student and it will be easier for them to have an idea to remember the lesson. Seing visuals enable the children to establish, explain, connect, and associate ideas and concepts to make the process of learning more interesting and effective. It also helps the students to gain  proper view about the topic but only 30% of information are remebered. A combination of hearing and seeing the lesson stimulates the thinking, reasoning, problem-solving, decision-making, and creating. Videos take the student beyond recall-and-relate activities. Learning video is a tool to help the children to remember 50% of the lesson. Learning is not about absorbing the information in the topic but also giving insights about the topic. It will help the students to retain the 70% of lesson. The best thing to attain 90% of learning and rettaining lesson is by engaging and demonstrating the things that an individual have learned.</w:t>
      </w:r>
    </w:p>
    <w:p>
      <w:pPr>
        <w:pStyle w:val="style0"/>
        <w:spacing w:lineRule="auto" w:line="360"/>
        <w:jc w:val="both"/>
        <w:rPr>
          <w:sz w:val="24"/>
          <w:szCs w:val="24"/>
          <w:lang w:val="en-US"/>
        </w:rPr>
      </w:pPr>
    </w:p>
    <w:p>
      <w:pPr>
        <w:pStyle w:val="style0"/>
        <w:spacing w:lineRule="auto" w:line="360"/>
        <w:jc w:val="both"/>
        <w:rPr>
          <w:sz w:val="24"/>
          <w:szCs w:val="24"/>
          <w:highlight w:val="yellow"/>
        </w:rPr>
      </w:pPr>
      <w:r>
        <w:rPr>
          <w:sz w:val="24"/>
          <w:szCs w:val="24"/>
          <w:highlight w:val="yellow"/>
          <w:lang w:val="en-US"/>
        </w:rPr>
        <w:t xml:space="preserve">Essay Writing: </w:t>
      </w:r>
    </w:p>
    <w:p>
      <w:pPr>
        <w:pStyle w:val="style0"/>
        <w:spacing w:lineRule="auto" w:line="360"/>
        <w:jc w:val="both"/>
        <w:rPr>
          <w:sz w:val="24"/>
          <w:szCs w:val="24"/>
        </w:rPr>
      </w:pPr>
      <w:r>
        <w:rPr>
          <w:sz w:val="24"/>
          <w:szCs w:val="24"/>
          <w:lang w:val="en-US"/>
        </w:rPr>
        <w:t xml:space="preserve">           Dale's Cone of Experience is a model that incorporates several theories related to instructional design and learning processes. It illustrates the capacity of the students to remeber what they have learn by specific types of activity such as reading, hearing, seeing visuals, watching videos, disccussion, practicing and demonstrating. It allows instructors to understand how to increase the retention rate of learners by letting the learner experience learning.</w:t>
      </w:r>
    </w:p>
    <w:p>
      <w:pPr>
        <w:pStyle w:val="style0"/>
        <w:spacing w:lineRule="auto" w:line="360"/>
        <w:jc w:val="both"/>
        <w:rPr>
          <w:sz w:val="24"/>
          <w:szCs w:val="24"/>
        </w:rPr>
      </w:pPr>
      <w:r>
        <w:rPr>
          <w:sz w:val="24"/>
          <w:szCs w:val="24"/>
          <w:lang w:val="en-US"/>
        </w:rPr>
        <w:t xml:space="preserve">            It provides teaching and learning models that allows teachers to know the retention rate of the student and cope up with a good strategy on how to impart the lesson to the students. While the learner participate in the learning process, they awaken the sensory organs to easily absorb the shared knowledge.</w:t>
      </w:r>
    </w:p>
    <w:p>
      <w:pPr>
        <w:pStyle w:val="style0"/>
        <w:spacing w:lineRule="auto" w:line="360"/>
        <w:jc w:val="both"/>
        <w:rPr>
          <w:sz w:val="24"/>
          <w:szCs w:val="24"/>
        </w:rPr>
      </w:pPr>
      <w:r>
        <w:rPr>
          <w:sz w:val="24"/>
          <w:szCs w:val="24"/>
          <w:lang w:val="en-US"/>
        </w:rPr>
        <w:t xml:space="preserve">           Teaching is not about distributing knowledge and just let the students to take it. Teaching is about knowing the students in able to give what they need. Knowing the capacity of the students, interest of the students to learn,  knowing what type of learner they are (whether they are visual learner, kinesthetic learner and etc) and also knowing the retention of the students from different aspects of learning. Cone of experience is a good model for the teacher to follow to come up with the teaching strategies that will help for the retainment of the knowledge for every topic.</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References : Corpuz, B., &amp; Lucido, P. (2008). Educational technology 1. Quezon City: Lorimar Publishing, Inc.</w:t>
      </w:r>
    </w:p>
    <w:p>
      <w:pPr>
        <w:pStyle w:val="style0"/>
        <w:spacing w:lineRule="auto" w:line="360"/>
        <w:jc w:val="both"/>
        <w:rPr>
          <w:sz w:val="24"/>
          <w:szCs w:val="24"/>
        </w:rPr>
      </w:pPr>
      <w:r>
        <w:rPr>
          <w:sz w:val="24"/>
          <w:szCs w:val="24"/>
          <w:lang w:val="en-US"/>
        </w:rPr>
        <w:t xml:space="preserve">Corpuz, B., &amp; Salandanan, G. (2011). Principles of Teaching 1. Quezon City: Lorimar Publishing, Inc. </w:t>
      </w:r>
    </w:p>
    <w:p>
      <w:pPr>
        <w:pStyle w:val="style0"/>
        <w:spacing w:lineRule="auto" w:line="360"/>
        <w:jc w:val="both"/>
        <w:rPr>
          <w:rStyle w:val="style85"/>
          <w:sz w:val="24"/>
          <w:szCs w:val="24"/>
        </w:rPr>
      </w:pPr>
      <w:r>
        <w:rPr>
          <w:sz w:val="24"/>
          <w:szCs w:val="24"/>
          <w:lang w:val="en-US"/>
        </w:rPr>
        <w:t xml:space="preserve">retrieved from: </w:t>
      </w:r>
      <w:r>
        <w:rPr>
          <w:sz w:val="24"/>
          <w:szCs w:val="24"/>
          <w:lang w:val="en-US"/>
        </w:rPr>
        <w:fldChar w:fldCharType="begin"/>
      </w:r>
      <w:r>
        <w:rPr>
          <w:sz w:val="24"/>
          <w:szCs w:val="24"/>
          <w:lang w:val="en-US"/>
        </w:rPr>
        <w:instrText xml:space="preserve"> HYPERLINK "https://teachernoella.weebly.com/dales-cone-of-experience.html" \o "https://teachernoella.weebly.com/dales-cone-of-experience.html"</w:instrText>
      </w:r>
      <w:r>
        <w:rPr>
          <w:sz w:val="24"/>
          <w:szCs w:val="24"/>
          <w:lang w:val="en-US"/>
        </w:rPr>
        <w:fldChar w:fldCharType="separate"/>
      </w:r>
      <w:r>
        <w:rPr>
          <w:rStyle w:val="style85"/>
          <w:sz w:val="24"/>
          <w:szCs w:val="24"/>
          <w:lang w:val="en-US"/>
        </w:rPr>
        <w:t>https://teachernoella.weebly.com/dales-cone-of-experience.html</w:t>
      </w:r>
    </w:p>
    <w:p>
      <w:pPr>
        <w:pStyle w:val="style0"/>
        <w:spacing w:lineRule="auto" w:line="360"/>
        <w:jc w:val="both"/>
        <w:rPr>
          <w:sz w:val="24"/>
          <w:szCs w:val="24"/>
        </w:rPr>
      </w:pPr>
      <w:r>
        <w:rPr>
          <w:sz w:val="24"/>
          <w:szCs w:val="24"/>
          <w:lang w:val="en-US"/>
        </w:rPr>
        <w:fldChar w:fldCharType="end"/>
      </w:r>
    </w:p>
    <w:p>
      <w:pPr>
        <w:pStyle w:val="style0"/>
        <w:spacing w:lineRule="auto" w:line="360"/>
        <w:jc w:val="both"/>
        <w:rPr>
          <w:sz w:val="24"/>
          <w:szCs w:val="24"/>
          <w:highlight w:val="yellow"/>
        </w:rPr>
      </w:pPr>
      <w:r>
        <w:rPr>
          <w:sz w:val="24"/>
          <w:szCs w:val="24"/>
          <w:highlight w:val="yellow"/>
          <w:lang w:val="en-US"/>
        </w:rPr>
        <w:t xml:space="preserve">Research on the meaning of TPACK, SAMR, and Bloom’s DigitalTaxonomy </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 xml:space="preserve">The SAMR model considers four levels of integration: substitution, augmentation, modification, and redefinition. </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 xml:space="preserve">The TPACK model addresses the interaction of technological, pedagogical, and content knowledge and how they relate to teaching in a technology-enhanced learning environment. </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The purpose of Bloom's Digital Taxonomy is to inform instructors of how to use technology and digital tools to facilitate student learning experiences and outcomes.It aims, “To expand upon the skills associated with each level as technology becomes a more ingrained essential part of learning.” 1  The use of this adapted version and the examples of tools it provides focus “should not be on the tools themselves, but rather on how the tools can act as vehicles for transforming student thinking at different levels.” 1  Outlined below are the levels featured within Bloom’s Revised Taxonomy.  Each level is accompanied by a description of its relevance and examples of digital tools that connect with this taxonomy framework.</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Infographic Credit: Ron Carranza</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Creating –To produce new or original work.  Tools – Animating, blogging, filming, podcasting, publishing, simulating, wiki building, video blogging, programming, directing</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Evaluating – To justify a stand or decision; to make judgements based on criteria and standards through checking and critiquing.  Tools – Grading, networking, rating, testing, reflecting, reviewing, blog commenting, posting, moderating</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Analyzing – To draw connections among ideas, concepts, or determining how each part interrelate to an overall structure or purpose.  Tools – Mashing, mind mapping, surveying, linking, validating</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Applying – To use information in new situations such as models, diagrams, or presentations.  Tools – Calculating, Charting, editing, hacking, presenting, uploading, operating, sharing with a group</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Understanding – To explain ideas, concepts, or construct meaning from written material or graphics.  Tools – Advanced searching, annotating, blog journaling, tweeting, tagging, commenting, subscribing</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Remembering – To recall facts, basic concepts, or retrieval of material.  Tools – Bookmarking, copying, googling, bullet-pointing, highlighting, group networking, searching</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Summary</w:t>
      </w:r>
    </w:p>
    <w:p>
      <w:pPr>
        <w:pStyle w:val="style0"/>
        <w:spacing w:lineRule="auto" w:line="360"/>
        <w:jc w:val="both"/>
        <w:rPr>
          <w:sz w:val="24"/>
          <w:szCs w:val="24"/>
        </w:rPr>
      </w:pPr>
    </w:p>
    <w:p>
      <w:pPr>
        <w:pStyle w:val="style0"/>
        <w:spacing w:lineRule="auto" w:line="360"/>
        <w:jc w:val="both"/>
        <w:rPr>
          <w:sz w:val="24"/>
          <w:szCs w:val="24"/>
        </w:rPr>
      </w:pPr>
      <w:r>
        <w:rPr>
          <w:sz w:val="24"/>
          <w:szCs w:val="24"/>
          <w:lang w:val="en-US"/>
        </w:rPr>
        <w:t>Connecting characteristics of Bloom’s Revised Taxonomy is necessary for creating online learning activities that are in accordance with our students’ needs.  “Bloom’s Digital Taxonomy helps us navigate through the myriad digital tools and make choices based on the kinds of learning experiences we want students to engage in.” 2  Selecting the most appropriate digital activity will depend on the activity’s level of difficulty tied to the cognitive levels stated within Bloom’s Revised Taxonomy.  As K. A. Meyer writes, “Knowledge is situated, being in part a product of the activity, context, and culture in which it is developed and used.  In this way, we can begin to ascertain differences that will help instructors apply the right tool to the right learning goals.” 3</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 w:type="character" w:styleId="style85">
    <w:name w:val="Hyperlink"/>
    <w:basedOn w:val="style65"/>
    <w:next w:val="style85"/>
    <w:rPr>
      <w:color w:val="0000ff"/>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965</Words>
  <Characters>5440</Characters>
  <Application>WPS Office</Application>
  <Paragraphs>43</Paragraphs>
  <CharactersWithSpaces>6460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2021-10-22T14:29:11Z</dcterms:created>
  <dc:creator>CPH1903</dc:creator>
  <lastModifiedBy>CPH1903</lastModifiedBy>
  <dcterms:modified xsi:type="dcterms:W3CDTF">2021-12-11T14:52:56Z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f65301f3c1e847e0afa5b3e75864db92</vt:lpwstr>
  </property>
</Properties>
</file>